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left="1006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</w:t>
      </w:r>
    </w:p>
    <w:p w14:paraId="06000000">
      <w:pPr>
        <w:widowControl w:val="1"/>
        <w:spacing w:after="0" w:line="240" w:lineRule="auto"/>
        <w:ind w:left="1006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Министерства юстиции </w:t>
      </w:r>
    </w:p>
    <w:p w14:paraId="07000000">
      <w:pPr>
        <w:widowControl w:val="1"/>
        <w:spacing w:after="0" w:line="240" w:lineRule="auto"/>
        <w:ind w:left="1006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Республики Марий Эл</w:t>
      </w:r>
    </w:p>
    <w:p w14:paraId="08000000">
      <w:pPr>
        <w:widowControl w:val="1"/>
        <w:spacing w:after="0" w:line="240" w:lineRule="auto"/>
        <w:ind w:left="1006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21 </w:t>
      </w:r>
      <w:r>
        <w:rPr>
          <w:rFonts w:ascii="Times New Roman" w:hAnsi="Times New Roman"/>
          <w:sz w:val="24"/>
        </w:rPr>
        <w:t>января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 № </w:t>
      </w:r>
      <w:r>
        <w:rPr>
          <w:rFonts w:ascii="Times New Roman" w:hAnsi="Times New Roman"/>
          <w:sz w:val="24"/>
        </w:rPr>
        <w:t>10</w:t>
      </w:r>
    </w:p>
    <w:p w14:paraId="09000000">
      <w:pPr>
        <w:widowControl w:val="1"/>
        <w:spacing w:after="0" w:line="240" w:lineRule="auto"/>
        <w:ind w:left="8789"/>
        <w:jc w:val="center"/>
        <w:rPr>
          <w:rFonts w:ascii="Times New Roman" w:hAnsi="Times New Roman"/>
          <w:sz w:val="24"/>
        </w:rPr>
      </w:pPr>
    </w:p>
    <w:p w14:paraId="0A000000">
      <w:pPr>
        <w:widowControl w:val="1"/>
        <w:spacing w:after="0" w:line="240" w:lineRule="auto"/>
        <w:ind w:left="-709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Т Ч Е Т</w:t>
      </w:r>
    </w:p>
    <w:p w14:paraId="0B000000">
      <w:pPr>
        <w:widowControl w:val="1"/>
        <w:spacing w:after="0" w:line="240" w:lineRule="auto"/>
        <w:ind w:left="-709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Административной комиссии в Звениговском муниципальном районе</w:t>
      </w:r>
    </w:p>
    <w:p w14:paraId="0C000000">
      <w:pPr>
        <w:widowControl w:val="1"/>
        <w:spacing w:after="0" w:line="240" w:lineRule="auto"/>
        <w:ind w:left="-709" w:right="-739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(наименование </w:t>
      </w:r>
      <w:r>
        <w:rPr>
          <w:rFonts w:ascii="Times New Roman" w:hAnsi="Times New Roman"/>
          <w:sz w:val="16"/>
        </w:rPr>
        <w:t xml:space="preserve">административной комиссии </w:t>
      </w:r>
      <w:r>
        <w:rPr>
          <w:rFonts w:ascii="Times New Roman" w:hAnsi="Times New Roman"/>
          <w:sz w:val="16"/>
        </w:rPr>
        <w:t>в Республике Марий Эл)</w:t>
      </w:r>
    </w:p>
    <w:p w14:paraId="0D000000">
      <w:pPr>
        <w:widowControl w:val="1"/>
        <w:spacing w:after="0" w:line="240" w:lineRule="auto"/>
        <w:ind w:left="-709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деятельности по рассмотрению дел об административных правонарушениях</w:t>
      </w:r>
    </w:p>
    <w:p w14:paraId="0E000000">
      <w:pPr>
        <w:widowControl w:val="1"/>
        <w:spacing w:after="0" w:line="240" w:lineRule="auto"/>
        <w:ind w:left="-709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 период с «</w:t>
      </w:r>
      <w:r>
        <w:rPr>
          <w:rFonts w:ascii="Times New Roman" w:hAnsi="Times New Roman"/>
          <w:b w:val="1"/>
          <w:sz w:val="24"/>
        </w:rPr>
        <w:t>01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 xml:space="preserve">января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0</w:t>
      </w:r>
      <w:r>
        <w:rPr>
          <w:rFonts w:ascii="Times New Roman" w:hAnsi="Times New Roman"/>
          <w:b w:val="1"/>
          <w:sz w:val="24"/>
        </w:rPr>
        <w:t>25</w:t>
      </w:r>
      <w:r>
        <w:rPr>
          <w:rFonts w:ascii="Times New Roman" w:hAnsi="Times New Roman"/>
          <w:b w:val="1"/>
          <w:sz w:val="24"/>
        </w:rPr>
        <w:t xml:space="preserve"> г.  по «</w:t>
      </w:r>
      <w:r>
        <w:rPr>
          <w:rFonts w:ascii="Times New Roman" w:hAnsi="Times New Roman"/>
          <w:b w:val="1"/>
          <w:sz w:val="24"/>
        </w:rPr>
        <w:t>31</w:t>
      </w:r>
      <w:r>
        <w:rPr>
          <w:rFonts w:ascii="Times New Roman" w:hAnsi="Times New Roman"/>
          <w:b w:val="1"/>
          <w:sz w:val="24"/>
        </w:rPr>
        <w:t>» декабря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>25</w:t>
      </w:r>
      <w:r>
        <w:rPr>
          <w:rFonts w:ascii="Times New Roman" w:hAnsi="Times New Roman"/>
          <w:b w:val="1"/>
          <w:sz w:val="24"/>
        </w:rPr>
        <w:t xml:space="preserve"> г.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jc w:val="center"/>
        <w:tblInd w:type="dxa" w:w="-18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5"/>
        <w:gridCol w:w="1277"/>
        <w:gridCol w:w="425"/>
        <w:gridCol w:w="527"/>
        <w:gridCol w:w="465"/>
        <w:gridCol w:w="851"/>
        <w:gridCol w:w="1093"/>
        <w:gridCol w:w="426"/>
        <w:gridCol w:w="661"/>
        <w:gridCol w:w="655"/>
        <w:gridCol w:w="708"/>
        <w:gridCol w:w="567"/>
        <w:gridCol w:w="408"/>
        <w:gridCol w:w="425"/>
        <w:gridCol w:w="426"/>
        <w:gridCol w:w="449"/>
        <w:gridCol w:w="708"/>
        <w:gridCol w:w="685"/>
        <w:gridCol w:w="709"/>
        <w:gridCol w:w="851"/>
        <w:gridCol w:w="992"/>
        <w:gridCol w:w="567"/>
        <w:gridCol w:w="567"/>
        <w:gridCol w:w="567"/>
        <w:gridCol w:w="850"/>
      </w:tblGrid>
      <w:tr>
        <w:trPr>
          <w:trHeight w:hRule="atLeast" w:val="457"/>
        </w:trPr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№п/п</w:t>
            </w:r>
          </w:p>
        </w:tc>
        <w:tc>
          <w:tcPr>
            <w:tcW w:type="dxa" w:w="12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</w:t>
            </w:r>
          </w:p>
          <w:p w14:paraId="1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Закона Республики</w:t>
            </w:r>
          </w:p>
          <w:p w14:paraId="1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Марий Эл</w:t>
            </w:r>
          </w:p>
          <w:p w14:paraId="1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 4 декабря</w:t>
            </w:r>
          </w:p>
          <w:p w14:paraId="1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2002 г</w:t>
            </w:r>
            <w:r>
              <w:rPr>
                <w:rFonts w:ascii="Times New Roman" w:hAnsi="Times New Roman"/>
                <w:sz w:val="16"/>
              </w:rPr>
              <w:t>.</w:t>
            </w:r>
          </w:p>
          <w:p w14:paraId="1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№43-З</w:t>
            </w:r>
          </w:p>
          <w:p w14:paraId="1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«Об админи-</w:t>
            </w:r>
          </w:p>
          <w:p w14:paraId="1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стративных право-</w:t>
            </w:r>
          </w:p>
          <w:p w14:paraId="1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нарушениях</w:t>
            </w:r>
          </w:p>
          <w:p w14:paraId="1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Республике</w:t>
            </w:r>
          </w:p>
          <w:p w14:paraId="1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Марий Эл»</w:t>
            </w:r>
          </w:p>
        </w:tc>
        <w:tc>
          <w:tcPr>
            <w:tcW w:type="dxa" w:w="336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Сведения о поступивших</w:t>
            </w:r>
          </w:p>
          <w:p w14:paraId="1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материалах и делах </w:t>
            </w:r>
          </w:p>
        </w:tc>
        <w:tc>
          <w:tcPr>
            <w:tcW w:type="dxa" w:w="301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Сведения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о рассмотрении дел</w:t>
            </w:r>
          </w:p>
        </w:tc>
        <w:tc>
          <w:tcPr>
            <w:tcW w:type="dxa" w:w="24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Сведения о назначении</w:t>
            </w:r>
          </w:p>
          <w:p w14:paraId="21000000">
            <w:pPr>
              <w:widowControl w:val="1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административного наказания</w:t>
            </w:r>
          </w:p>
        </w:tc>
        <w:tc>
          <w:tcPr>
            <w:tcW w:type="dxa" w:w="323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Сведения об уплате</w:t>
            </w:r>
          </w:p>
          <w:p w14:paraId="23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административного штрафа</w:t>
            </w:r>
          </w:p>
        </w:tc>
        <w:tc>
          <w:tcPr>
            <w:tcW w:type="dxa" w:w="255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Сведения</w:t>
            </w:r>
          </w:p>
          <w:p w14:paraId="25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 обжалованных решениях</w:t>
            </w:r>
          </w:p>
        </w:tc>
      </w:tr>
      <w:tr>
        <w:trPr>
          <w:trHeight w:hRule="atLeast" w:val="468"/>
        </w:trPr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6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всего, из них:</w:t>
            </w:r>
          </w:p>
        </w:tc>
        <w:tc>
          <w:tcPr>
            <w:tcW w:type="dxa" w:w="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27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составлено протоколов членами административной комиссии</w:t>
            </w:r>
          </w:p>
        </w:tc>
        <w:tc>
          <w:tcPr>
            <w:tcW w:type="dxa" w:w="4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28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вынесено определений</w:t>
            </w:r>
          </w:p>
          <w:p w14:paraId="29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 отказе в возбуждении дела</w:t>
            </w:r>
          </w:p>
        </w:tc>
        <w:tc>
          <w:tcPr>
            <w:tcW w:type="dxa" w:w="19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widowControl w:val="1"/>
              <w:spacing w:after="0" w:line="240" w:lineRule="auto"/>
              <w:ind w:left="-166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вынесено определений </w:t>
            </w:r>
          </w:p>
          <w:p w14:paraId="2B000000">
            <w:pPr>
              <w:widowControl w:val="1"/>
              <w:spacing w:after="0" w:line="240" w:lineRule="auto"/>
              <w:ind w:left="-166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(при подготовке </w:t>
            </w:r>
          </w:p>
          <w:p w14:paraId="2C000000">
            <w:pPr>
              <w:widowControl w:val="1"/>
              <w:spacing w:after="0" w:line="240" w:lineRule="auto"/>
              <w:ind w:left="-166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 рассмотрению дел)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2D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рассмотрено дел всего</w:t>
            </w:r>
          </w:p>
        </w:tc>
        <w:tc>
          <w:tcPr>
            <w:tcW w:type="dxa" w:w="259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из них вынесено</w:t>
            </w:r>
          </w:p>
          <w:p w14:paraId="2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постановлений</w:t>
            </w:r>
          </w:p>
        </w:tc>
        <w:tc>
          <w:tcPr>
            <w:tcW w:type="dxa" w:w="4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30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всего, из них</w:t>
            </w:r>
            <w:r>
              <w:rPr>
                <w:rFonts w:ascii="Times New Roman" w:hAnsi="Times New Roman"/>
                <w:sz w:val="16"/>
              </w:rPr>
              <w:t xml:space="preserve"> в виде: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1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устного замечания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32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предупреждения</w:t>
            </w:r>
          </w:p>
        </w:tc>
        <w:tc>
          <w:tcPr>
            <w:tcW w:type="dxa" w:w="11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административного штрафа</w:t>
            </w:r>
          </w:p>
        </w:tc>
        <w:tc>
          <w:tcPr>
            <w:tcW w:type="dxa" w:w="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сумма добровольно уплаченного  административного штрафа,</w:t>
            </w:r>
          </w:p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рублях</w:t>
            </w:r>
          </w:p>
        </w:tc>
        <w:tc>
          <w:tcPr>
            <w:tcW w:type="dxa" w:w="25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принудительное</w:t>
            </w:r>
          </w:p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взыскание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38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обжаловано решений всего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т.ч. назначенные</w:t>
            </w:r>
          </w:p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виде:</w:t>
            </w:r>
          </w:p>
        </w:tc>
      </w:tr>
      <w:tr>
        <w:trPr>
          <w:trHeight w:hRule="atLeast" w:val="283"/>
        </w:trPr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4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B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 передаче дела (материалов)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 xml:space="preserve">по подведомственности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 xml:space="preserve">в порядке п.5 ч.1 ст.29.4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КоАП РФ</w:t>
            </w:r>
          </w:p>
        </w:tc>
        <w:tc>
          <w:tcPr>
            <w:tcW w:type="dxa" w:w="10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 возвращении  в порядке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 xml:space="preserve">п.4 ч.1 ст.29.4 КоАП РФ  (протокол составлен неправомочным  лицом,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для устранения недостатков)</w:t>
            </w:r>
          </w:p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6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 прекращении производства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по делу  в порядке</w:t>
            </w:r>
          </w:p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ч. 1 ст.24.5 КоАП РФ</w:t>
            </w:r>
          </w:p>
        </w:tc>
        <w:tc>
          <w:tcPr>
            <w:tcW w:type="dxa" w:w="1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том числе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в связи с:</w:t>
            </w:r>
          </w:p>
        </w:tc>
        <w:tc>
          <w:tcPr>
            <w:tcW w:type="dxa" w:w="4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4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0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решений всего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сумма  административного </w:t>
            </w:r>
          </w:p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штрафа, в рублях</w:t>
            </w:r>
          </w:p>
        </w:tc>
        <w:tc>
          <w:tcPr>
            <w:tcW w:type="dxa" w:w="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43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направлено постановлений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в службу судебных приставов, количество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44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сумма административного штрафа для принудительного взыскания, </w:t>
            </w:r>
          </w:p>
          <w:p w14:paraId="45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рублях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46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сумма административного штрафа, взысканного судебными приставами,  </w:t>
            </w:r>
          </w:p>
          <w:p w14:paraId="47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рублях.</w:t>
            </w:r>
          </w:p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48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предупреждения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административного штрафа:</w:t>
            </w:r>
          </w:p>
        </w:tc>
      </w:tr>
      <w:tr>
        <w:trPr>
          <w:trHeight w:hRule="atLeast" w:val="2024"/>
        </w:trPr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4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10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6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отсутствием события административного правонарушения (п.1)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отсутствием состава административного правонарушения (п.2)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истечением сроков  </w:t>
            </w:r>
          </w:p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давности привлечения (п. 6)</w:t>
            </w:r>
          </w:p>
        </w:tc>
        <w:tc>
          <w:tcPr>
            <w:tcW w:type="dxa" w:w="4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4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4E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постановлений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4F000000">
            <w:pPr>
              <w:widowControl w:val="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общая сумма административного штрафа, в рублях</w:t>
            </w:r>
          </w:p>
        </w:tc>
      </w:tr>
      <w:tr>
        <w:trPr>
          <w:trHeight w:hRule="atLeast" w:val="12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>5</w:t>
            </w:r>
          </w:p>
        </w:tc>
      </w:tr>
      <w:tr>
        <w:trPr>
          <w:trHeight w:hRule="atLeast" w:val="24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8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6F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16000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14000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4500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hRule="atLeast" w:val="27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9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8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8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</w:tr>
      <w:tr>
        <w:trPr>
          <w:trHeight w:hRule="atLeast" w:val="267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9.2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9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9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6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B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B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6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12</w:t>
            </w:r>
            <w:r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D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D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2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18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E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E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6000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18.2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0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0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18.7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1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1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18.8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34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35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9000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19.3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4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4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19.4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6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6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19.4</w:t>
            </w:r>
            <w:r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7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8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19.4</w:t>
            </w:r>
            <w:r>
              <w:rPr>
                <w:rFonts w:ascii="Times New Roman" w:hAnsi="Times New Roman"/>
                <w:sz w:val="16"/>
              </w:rPr>
              <w:t>.2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9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9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19.4</w:t>
            </w:r>
            <w:r>
              <w:rPr>
                <w:rFonts w:ascii="Times New Roman" w:hAnsi="Times New Roman"/>
                <w:sz w:val="16"/>
              </w:rPr>
              <w:t>.3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B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B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19.4</w:t>
            </w:r>
            <w:r>
              <w:rPr>
                <w:rFonts w:ascii="Times New Roman" w:hAnsi="Times New Roman"/>
                <w:sz w:val="16"/>
              </w:rPr>
              <w:t>.4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C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C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3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1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статья 19.</w:t>
            </w:r>
            <w:r>
              <w:rPr>
                <w:rFonts w:ascii="Times New Roman" w:hAnsi="Times New Roman"/>
                <w:sz w:val="16"/>
              </w:rPr>
              <w:t>4.5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E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vAlign w:val="center"/>
          </w:tcPr>
          <w:p w14:paraId="E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widowControl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31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widowControl w:val="1"/>
              <w:numPr>
                <w:ilvl w:val="0"/>
                <w:numId w:val="1"/>
              </w:numPr>
              <w:spacing w:after="0"/>
              <w:ind w:firstLine="0" w:left="0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Итого: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57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17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36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9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7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27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0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0</w:t>
            </w:r>
          </w:p>
        </w:tc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31000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18000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16000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5500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0</w:t>
            </w:r>
          </w:p>
        </w:tc>
      </w:tr>
    </w:tbl>
    <w:p w14:paraId="12020000">
      <w:pPr>
        <w:widowControl w:val="1"/>
        <w:spacing w:after="0" w:line="235" w:lineRule="auto"/>
        <w:ind w:firstLine="993"/>
        <w:jc w:val="both"/>
        <w:rPr>
          <w:rFonts w:ascii="Times New Roman" w:hAnsi="Times New Roman"/>
          <w:sz w:val="24"/>
        </w:rPr>
      </w:pPr>
    </w:p>
    <w:p w14:paraId="13020000">
      <w:pPr>
        <w:widowControl w:val="1"/>
        <w:spacing w:after="0" w:line="235" w:lineRule="auto"/>
        <w:ind w:firstLine="993"/>
        <w:jc w:val="both"/>
        <w:rPr>
          <w:rFonts w:ascii="Times New Roman" w:hAnsi="Times New Roman"/>
          <w:sz w:val="24"/>
        </w:rPr>
      </w:pPr>
    </w:p>
    <w:p w14:paraId="14020000">
      <w:pPr>
        <w:widowControl w:val="1"/>
        <w:tabs>
          <w:tab w:leader="none" w:pos="7285" w:val="center"/>
          <w:tab w:leader="none" w:pos="12046" w:val="left"/>
        </w:tabs>
        <w:ind/>
        <w:rPr>
          <w:rFonts w:ascii="Times New Roman" w:hAnsi="Times New Roman"/>
          <w:sz w:val="2"/>
        </w:rPr>
      </w:pPr>
    </w:p>
    <w:p w14:paraId="15020000">
      <w:pPr>
        <w:widowControl w:val="1"/>
        <w:spacing w:after="0" w:line="240" w:lineRule="auto"/>
        <w:ind w:left="8789"/>
        <w:jc w:val="center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even"/>
      <w:pgSz w:h="11906" w:orient="landscape" w:w="16838"/>
      <w:pgMar w:bottom="1134" w:footer="709" w:gutter="0" w:header="289" w:left="1134" w:right="1134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rPr>
        <w:rStyle w:val="Style_2_ch"/>
        <w:rFonts w:ascii="Times New Roman" w:hAnsi="Times New Roman"/>
        <w:sz w:val="28"/>
      </w:rPr>
    </w:pPr>
  </w:p>
  <w:p w14:paraId="03000000">
    <w:pPr>
      <w:pStyle w:val="Style_1"/>
      <w:widowControl w:val="1"/>
      <w:ind w:right="360"/>
      <w:jc w:val="right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4_ch" w:type="character">
    <w:name w:val="Normal"/>
    <w:link w:val="Style_4"/>
    <w:rPr>
      <w:rFonts w:ascii="Calibri" w:hAnsi="Calibri"/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"/>
    <w:link w:val="Style_11_ch"/>
    <w:rPr>
      <w:color w:val="000000"/>
      <w:sz w:val="24"/>
    </w:rPr>
  </w:style>
  <w:style w:styleId="Style_11_ch" w:type="character">
    <w:name w:val="Default"/>
    <w:link w:val="Style_11"/>
    <w:rPr>
      <w:color w:val="000000"/>
      <w:sz w:val="24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List Paragraph"/>
    <w:basedOn w:val="Style_4"/>
    <w:link w:val="Style_22_ch"/>
    <w:pPr>
      <w:widowControl w:val="1"/>
      <w:ind w:left="720"/>
    </w:pPr>
  </w:style>
  <w:style w:styleId="Style_22_ch" w:type="character">
    <w:name w:val="List Paragraph"/>
    <w:basedOn w:val="Style_4_ch"/>
    <w:link w:val="Style_22"/>
  </w:style>
  <w:style w:styleId="Style_23" w:type="paragraph">
    <w:name w:val="toc 5"/>
    <w:next w:val="Style_4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4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footer"/>
    <w:basedOn w:val="Style_4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4_ch"/>
    <w:link w:val="Style_25"/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29" w:type="paragraph">
    <w:name w:val="heading 2"/>
    <w:next w:val="Style_4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2026-02-09T07:02:36Z</dcterms:created>
  <dcterms:modified xsi:type="dcterms:W3CDTF">2026-02-09T07:02:49Z</dcterms:modified>
</cp:coreProperties>
</file>